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F3" w:rsidRDefault="00874106">
      <w:r>
        <w:t xml:space="preserve">                                           </w:t>
      </w:r>
      <w:r>
        <w:rPr>
          <w:noProof/>
          <w:lang w:eastAsia="it-IT"/>
        </w:rPr>
        <w:drawing>
          <wp:inline distT="0" distB="0" distL="0" distR="0">
            <wp:extent cx="5359179" cy="2194560"/>
            <wp:effectExtent l="19050" t="0" r="0" b="0"/>
            <wp:docPr id="1" name="Immagine 1" descr="C:\Users\Patrizia\Desktop\ANISA 2019\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ANISA 2019\C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79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06" w:rsidRDefault="00874106"/>
    <w:p w:rsidR="00874106" w:rsidRPr="00874106" w:rsidRDefault="00874106">
      <w:pPr>
        <w:rPr>
          <w:b/>
        </w:rPr>
      </w:pPr>
      <w:r w:rsidRPr="00874106">
        <w:rPr>
          <w:b/>
        </w:rPr>
        <w:t>Insalata in forma di rosa…ben arrivata Primavera!</w:t>
      </w:r>
    </w:p>
    <w:p w:rsidR="00874106" w:rsidRDefault="00874106" w:rsidP="00874106">
      <w:pPr>
        <w:spacing w:after="0" w:line="240" w:lineRule="auto"/>
        <w:jc w:val="both"/>
      </w:pPr>
      <w:r>
        <w:t>I bambini aspettano la primavera, porta con sé la gioia di abbandonare  l’aula e di dedicarsi  al gioco e all’esplorazione in giardino.</w:t>
      </w:r>
    </w:p>
    <w:p w:rsidR="00874106" w:rsidRDefault="00874106" w:rsidP="00874106">
      <w:pPr>
        <w:spacing w:after="0" w:line="240" w:lineRule="auto"/>
        <w:jc w:val="both"/>
      </w:pPr>
      <w:r>
        <w:t>Grida, corse, scalpiccio, la maestra inchiodata alla sua seggiolina osserva e prende appunti.</w:t>
      </w:r>
    </w:p>
    <w:p w:rsidR="00874106" w:rsidRDefault="00874106" w:rsidP="00874106">
      <w:pPr>
        <w:spacing w:after="0" w:line="240" w:lineRule="auto"/>
        <w:jc w:val="both"/>
      </w:pPr>
      <w:r>
        <w:t>Quante cose  accadono in un giardino scolastico?</w:t>
      </w:r>
    </w:p>
    <w:p w:rsidR="00874106" w:rsidRDefault="00874106" w:rsidP="00874106">
      <w:pPr>
        <w:spacing w:after="0" w:line="240" w:lineRule="auto"/>
        <w:jc w:val="both"/>
      </w:pPr>
      <w:r>
        <w:t>In un suo bel film, “Roma”, il regista Ettore Scola  riprendeva dall’alto il gioco convulso di una scolaresca all’aperto e in mezzo a tanto chiasso coglieva, con estrema tenerezza,</w:t>
      </w:r>
      <w:r w:rsidR="0048343F">
        <w:t xml:space="preserve"> </w:t>
      </w:r>
      <w:r>
        <w:t>il silenzioso isolamento di un bambino con cui nessuno amava giocare…</w:t>
      </w:r>
    </w:p>
    <w:p w:rsidR="00874106" w:rsidRDefault="00874106" w:rsidP="00874106">
      <w:pPr>
        <w:spacing w:after="0" w:line="240" w:lineRule="auto"/>
        <w:jc w:val="both"/>
      </w:pPr>
      <w:r>
        <w:t>Per fortuna, però, non solo, e non sempre, questo accade.</w:t>
      </w:r>
    </w:p>
    <w:p w:rsidR="00874106" w:rsidRDefault="00874106" w:rsidP="00874106">
      <w:pPr>
        <w:spacing w:after="0" w:line="240" w:lineRule="auto"/>
        <w:jc w:val="both"/>
      </w:pPr>
      <w:r>
        <w:t>E’ nel giardino che si annusa a pieni polmoni l’aria della benvenuta novella stagione!</w:t>
      </w:r>
    </w:p>
    <w:p w:rsidR="00874106" w:rsidRDefault="00874106" w:rsidP="00874106">
      <w:pPr>
        <w:spacing w:after="0" w:line="240" w:lineRule="auto"/>
        <w:jc w:val="both"/>
      </w:pPr>
      <w:r>
        <w:t>Al rientro, ci viene forte la voglia di proporre il tema ai nostri piccoli alunni.</w:t>
      </w:r>
    </w:p>
    <w:p w:rsidR="00874106" w:rsidRPr="00874106" w:rsidRDefault="00874106" w:rsidP="00874106">
      <w:pPr>
        <w:spacing w:after="0" w:line="240" w:lineRule="auto"/>
        <w:jc w:val="both"/>
      </w:pPr>
      <w:r>
        <w:t>Ma da dove partire? Dalla celeberrima “Flora”, oppure ri-partire dal “</w:t>
      </w:r>
      <w:r w:rsidRPr="00874106">
        <w:rPr>
          <w:i/>
          <w:color w:val="FF0000"/>
        </w:rPr>
        <w:t>contemporaneo</w:t>
      </w:r>
      <w:r>
        <w:t xml:space="preserve">”? Penso all’artista statunitense </w:t>
      </w:r>
      <w:r w:rsidRPr="00874106">
        <w:rPr>
          <w:i/>
          <w:color w:val="FF0000"/>
        </w:rPr>
        <w:t>Cy. Twombly</w:t>
      </w:r>
      <w:r w:rsidRPr="00874106">
        <w:t>.</w:t>
      </w:r>
    </w:p>
    <w:p w:rsidR="00874106" w:rsidRDefault="00874106" w:rsidP="00874106">
      <w:pPr>
        <w:spacing w:after="0" w:line="240" w:lineRule="auto"/>
        <w:jc w:val="both"/>
      </w:pPr>
      <w:r>
        <w:t>E perché, nella nostra tradizionale abitudine di lavorare secondo l’interdisciplinarietà, non legare il tema pittorico a quello letterario?</w:t>
      </w:r>
    </w:p>
    <w:p w:rsidR="00874106" w:rsidRDefault="00874106" w:rsidP="00874106">
      <w:pPr>
        <w:spacing w:after="0" w:line="240" w:lineRule="auto"/>
        <w:jc w:val="both"/>
      </w:pPr>
      <w:r>
        <w:t>Ci si offre il destro di far conoscere una forma letteraria che viene dall’esotico Oriente, quella dell’</w:t>
      </w:r>
      <w:r w:rsidRPr="00874106">
        <w:rPr>
          <w:i/>
          <w:color w:val="FF0000"/>
        </w:rPr>
        <w:t>aiku</w:t>
      </w:r>
      <w:r>
        <w:t>, e portare alla conosc</w:t>
      </w:r>
      <w:r w:rsidR="0048343F">
        <w:t xml:space="preserve">enza di </w:t>
      </w:r>
      <w:r>
        <w:t xml:space="preserve">uno dei nostri più formidabili ingegni creativi relativamente al designer: </w:t>
      </w:r>
      <w:r w:rsidRPr="00874106">
        <w:rPr>
          <w:i/>
          <w:color w:val="FF0000"/>
        </w:rPr>
        <w:t>Bruno Munari</w:t>
      </w:r>
      <w:r>
        <w:t>.</w:t>
      </w:r>
    </w:p>
    <w:p w:rsidR="00874106" w:rsidRDefault="00874106" w:rsidP="00874106">
      <w:pPr>
        <w:spacing w:after="0" w:line="240" w:lineRule="auto"/>
        <w:jc w:val="both"/>
      </w:pPr>
    </w:p>
    <w:p w:rsidR="00874106" w:rsidRDefault="00367302" w:rsidP="00874106">
      <w:pPr>
        <w:spacing w:after="0" w:line="240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2202815" cy="2075180"/>
            <wp:effectExtent l="19050" t="0" r="6985" b="0"/>
            <wp:docPr id="3" name="Immagine 2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106" w:rsidRDefault="00874106" w:rsidP="00874106">
      <w:pPr>
        <w:spacing w:after="0" w:line="240" w:lineRule="auto"/>
        <w:jc w:val="both"/>
      </w:pPr>
    </w:p>
    <w:p w:rsidR="00874106" w:rsidRPr="0048343F" w:rsidRDefault="00874106" w:rsidP="00874106">
      <w:pPr>
        <w:spacing w:after="0" w:line="240" w:lineRule="auto"/>
        <w:jc w:val="both"/>
        <w:rPr>
          <w:b/>
        </w:rPr>
      </w:pPr>
      <w:r w:rsidRPr="0048343F">
        <w:rPr>
          <w:b/>
        </w:rPr>
        <w:t>In agenda</w:t>
      </w:r>
    </w:p>
    <w:p w:rsidR="0048343F" w:rsidRDefault="0048343F" w:rsidP="00874106">
      <w:pPr>
        <w:spacing w:after="0" w:line="240" w:lineRule="auto"/>
        <w:jc w:val="both"/>
        <w:rPr>
          <w:i/>
        </w:rPr>
      </w:pPr>
    </w:p>
    <w:p w:rsidR="00367302" w:rsidRDefault="00874106" w:rsidP="00874106">
      <w:pPr>
        <w:spacing w:after="0" w:line="240" w:lineRule="auto"/>
        <w:jc w:val="both"/>
      </w:pPr>
      <w:r w:rsidRPr="00874106">
        <w:rPr>
          <w:i/>
        </w:rPr>
        <w:lastRenderedPageBreak/>
        <w:t>Tema</w:t>
      </w:r>
      <w:r w:rsidRPr="00874106">
        <w:t>: la Primavera</w:t>
      </w:r>
      <w:r w:rsidR="00367302">
        <w:t xml:space="preserve"> </w:t>
      </w:r>
    </w:p>
    <w:p w:rsidR="00874106" w:rsidRPr="00367302" w:rsidRDefault="00874106" w:rsidP="00874106">
      <w:pPr>
        <w:spacing w:after="0" w:line="240" w:lineRule="auto"/>
        <w:jc w:val="both"/>
      </w:pPr>
      <w:r w:rsidRPr="00874106">
        <w:rPr>
          <w:i/>
        </w:rPr>
        <w:t>Arti a confronto</w:t>
      </w:r>
      <w:r w:rsidRPr="00874106">
        <w:t xml:space="preserve">: il segno di </w:t>
      </w:r>
      <w:r w:rsidRPr="00874106">
        <w:rPr>
          <w:i/>
        </w:rPr>
        <w:t>Cy. Twombly e quello di Bruno Munari</w:t>
      </w:r>
    </w:p>
    <w:p w:rsidR="00874106" w:rsidRDefault="00874106" w:rsidP="00874106">
      <w:pPr>
        <w:spacing w:after="0" w:line="240" w:lineRule="auto"/>
        <w:jc w:val="both"/>
      </w:pPr>
      <w:r w:rsidRPr="00874106">
        <w:rPr>
          <w:i/>
        </w:rPr>
        <w:t>Una forma ispirata</w:t>
      </w:r>
      <w:r>
        <w:t>: l’ aiku giapponese</w:t>
      </w:r>
    </w:p>
    <w:p w:rsidR="00874106" w:rsidRDefault="00874106" w:rsidP="00874106">
      <w:pPr>
        <w:spacing w:after="0" w:line="240" w:lineRule="auto"/>
        <w:jc w:val="both"/>
      </w:pPr>
    </w:p>
    <w:p w:rsidR="00874106" w:rsidRDefault="00874106" w:rsidP="00874106">
      <w:pPr>
        <w:spacing w:after="0" w:line="240" w:lineRule="auto"/>
        <w:jc w:val="both"/>
      </w:pPr>
      <w:r w:rsidRPr="00874106">
        <w:rPr>
          <w:b/>
        </w:rPr>
        <w:t>Dalla goccia al segno</w:t>
      </w:r>
      <w:r w:rsidR="00C11154">
        <w:rPr>
          <w:b/>
        </w:rPr>
        <w:t xml:space="preserve">, dall’Occidente all’Oriente </w:t>
      </w:r>
    </w:p>
    <w:p w:rsidR="00874106" w:rsidRDefault="00874106" w:rsidP="00874106">
      <w:pPr>
        <w:spacing w:after="0" w:line="240" w:lineRule="auto"/>
        <w:jc w:val="both"/>
      </w:pPr>
      <w:r>
        <w:t>I bambini lo scorso mese</w:t>
      </w:r>
      <w:r w:rsidR="00367302">
        <w:t xml:space="preserve"> hanno </w:t>
      </w:r>
      <w:r>
        <w:t>visitato la bella mostra su J. Pollock e sono stati informati della cosidetta “scuola di New York”, apprendendo così che anche gli artisti, se riuniti in un gruppo che condivide giornate e obiettivi, possono dare vita ad una “scuola” in cui ferve il confronto tra opere.</w:t>
      </w:r>
    </w:p>
    <w:p w:rsidR="00874106" w:rsidRDefault="00874106" w:rsidP="00874106">
      <w:pPr>
        <w:spacing w:after="0" w:line="240" w:lineRule="auto"/>
        <w:jc w:val="both"/>
      </w:pPr>
      <w:r>
        <w:t>C’è chi dipinge schizzando il colore e facendo delle “gocce” una pioggia di grande impatto espressivo</w:t>
      </w:r>
      <w:r w:rsidR="0048343F">
        <w:t>,</w:t>
      </w:r>
      <w:r>
        <w:t xml:space="preserve"> e chi predilige un “segno” </w:t>
      </w:r>
      <w:r w:rsidR="0048343F">
        <w:t>,</w:t>
      </w:r>
      <w:r>
        <w:t>quasi un graffito</w:t>
      </w:r>
      <w:r w:rsidR="0048343F">
        <w:t>,</w:t>
      </w:r>
      <w:r>
        <w:t xml:space="preserve"> proprio come quello degli uomini della preistoria.</w:t>
      </w:r>
    </w:p>
    <w:p w:rsidR="008574EF" w:rsidRDefault="00874106" w:rsidP="00874106">
      <w:pPr>
        <w:spacing w:after="0" w:line="240" w:lineRule="auto"/>
        <w:jc w:val="both"/>
      </w:pPr>
      <w:r>
        <w:t xml:space="preserve">E’ il caso del nostro artista di oggi: </w:t>
      </w:r>
      <w:r w:rsidRPr="00874106">
        <w:rPr>
          <w:i/>
        </w:rPr>
        <w:t>Cy. Twombly</w:t>
      </w:r>
      <w:r>
        <w:t>. Un americano a Roma. Sì l’artista sposerà una donna italiana e buona parte della sua vita si svolgerà anche a Roma, città che lo affascina e lo ispira.</w:t>
      </w:r>
    </w:p>
    <w:p w:rsidR="00874106" w:rsidRDefault="008574EF" w:rsidP="00874106">
      <w:pPr>
        <w:spacing w:after="0" w:line="240" w:lineRule="auto"/>
        <w:jc w:val="both"/>
      </w:pPr>
      <w:r>
        <w:t>Tra la fine degli anni Cinquanta e i primi anni Sessanta espone alla galleria La Tartaruga di Roma.</w:t>
      </w:r>
    </w:p>
    <w:p w:rsidR="008574EF" w:rsidRDefault="008574EF" w:rsidP="00874106">
      <w:pPr>
        <w:spacing w:after="0" w:line="240" w:lineRule="auto"/>
        <w:jc w:val="both"/>
      </w:pPr>
      <w:r>
        <w:t>Abbiamo imparato come i dati biografici, fatti di ritratti e luoghi, scaldino l’interesse e l’immaginazione dei bambini.</w:t>
      </w:r>
    </w:p>
    <w:p w:rsidR="008574EF" w:rsidRDefault="008574EF" w:rsidP="00874106">
      <w:pPr>
        <w:spacing w:after="0" w:line="240" w:lineRule="auto"/>
        <w:jc w:val="both"/>
      </w:pPr>
      <w:r>
        <w:t>Due, infatti, sono le prime domande che si affacciano alle loro menti: Chi? Dove?</w:t>
      </w:r>
    </w:p>
    <w:p w:rsidR="008574EF" w:rsidRDefault="008574EF" w:rsidP="00874106">
      <w:pPr>
        <w:spacing w:after="0" w:line="240" w:lineRule="auto"/>
        <w:jc w:val="both"/>
      </w:pPr>
      <w:r>
        <w:t>Dunque, Peggy sta a Venezia come Twombly, in parte, a Roma.</w:t>
      </w:r>
    </w:p>
    <w:p w:rsidR="008574EF" w:rsidRDefault="008574EF" w:rsidP="00874106">
      <w:pPr>
        <w:spacing w:after="0" w:line="240" w:lineRule="auto"/>
        <w:jc w:val="both"/>
      </w:pPr>
      <w:r>
        <w:t>E a Roma dalla Tate Modern  approdano, negli anni Novanta del Novecento, le sue Stagioni, armonicamente  conchiuse nel loro ciclo. (</w:t>
      </w:r>
      <w:r w:rsidRPr="008574EF">
        <w:rPr>
          <w:b/>
          <w:color w:val="FF0000"/>
        </w:rPr>
        <w:t>Fig.1</w:t>
      </w:r>
      <w:r>
        <w:t>)</w:t>
      </w:r>
    </w:p>
    <w:p w:rsidR="008574EF" w:rsidRDefault="008574EF" w:rsidP="00874106">
      <w:pPr>
        <w:spacing w:after="0" w:line="240" w:lineRule="auto"/>
        <w:jc w:val="both"/>
      </w:pPr>
      <w:r>
        <w:t>Un’ esplosione di segni raffinati e colori studiati nella giusta tavolozza ispirata dalla Natura, con un valore aggiunto che subito i bambini colgono ( non meno delle “cicche” che Pollock fissa nelle sue tele…): quello degli elementi “</w:t>
      </w:r>
      <w:r w:rsidRPr="0048343F">
        <w:rPr>
          <w:color w:val="FF0000"/>
        </w:rPr>
        <w:t>calligrafici</w:t>
      </w:r>
      <w:r>
        <w:t>”.</w:t>
      </w:r>
    </w:p>
    <w:p w:rsidR="00874106" w:rsidRDefault="008574EF" w:rsidP="00874106">
      <w:pPr>
        <w:spacing w:after="0" w:line="240" w:lineRule="auto"/>
        <w:jc w:val="both"/>
      </w:pPr>
      <w:r>
        <w:t>Al  segno pittorico, si aggiunge il segno della scrittura. Un grande esempio di duplice comunicazione,  a cui l’artista conferisce pari dignità: l’immagine, seppur informale, e la parola.</w:t>
      </w:r>
    </w:p>
    <w:p w:rsidR="008574EF" w:rsidRDefault="008574EF" w:rsidP="00874106">
      <w:pPr>
        <w:spacing w:after="0" w:line="240" w:lineRule="auto"/>
        <w:jc w:val="both"/>
      </w:pPr>
      <w:r>
        <w:t xml:space="preserve">I bambini subito si incuriosiscono e chiedono la natura di quella relazione. </w:t>
      </w:r>
      <w:r w:rsidRPr="00C11154">
        <w:rPr>
          <w:b/>
          <w:color w:val="FF0000"/>
        </w:rPr>
        <w:t>( Fig.2)</w:t>
      </w:r>
    </w:p>
    <w:p w:rsidR="008574EF" w:rsidRDefault="008574EF" w:rsidP="00874106">
      <w:pPr>
        <w:spacing w:after="0" w:line="240" w:lineRule="auto"/>
        <w:jc w:val="both"/>
      </w:pPr>
      <w:r>
        <w:t>Giochimo ad immaginare di tradurre, riproduciamo carte su cui verghiamo parole in ordine sparso sullo sfondo di macchie e segni.</w:t>
      </w:r>
    </w:p>
    <w:p w:rsidR="008574EF" w:rsidRPr="0048343F" w:rsidRDefault="008574EF" w:rsidP="00874106">
      <w:pPr>
        <w:spacing w:after="0" w:line="240" w:lineRule="auto"/>
        <w:jc w:val="both"/>
      </w:pPr>
      <w:r>
        <w:t xml:space="preserve">Qualcuno si rende conto del rapporto didascalico: “ </w:t>
      </w:r>
      <w:r w:rsidRPr="0048343F">
        <w:rPr>
          <w:i/>
        </w:rPr>
        <w:t>lì c’è scritto “ Autunno”…”.</w:t>
      </w:r>
    </w:p>
    <w:p w:rsidR="008574EF" w:rsidRDefault="008574EF" w:rsidP="00874106">
      <w:pPr>
        <w:spacing w:after="0" w:line="240" w:lineRule="auto"/>
        <w:jc w:val="both"/>
      </w:pPr>
      <w:r>
        <w:t>Decidiamo di confezionare carte da pacco con lo stile del maestro su cui spicchi la grafia del nostro nome.</w:t>
      </w:r>
    </w:p>
    <w:p w:rsidR="008574EF" w:rsidRDefault="008574EF" w:rsidP="00874106">
      <w:pPr>
        <w:spacing w:after="0" w:line="240" w:lineRule="auto"/>
        <w:jc w:val="both"/>
      </w:pPr>
      <w:r>
        <w:t>Le appendiamo nella nostra aula, esattamente come le bandierine votive dei templi tibetani…</w:t>
      </w:r>
    </w:p>
    <w:p w:rsidR="008574EF" w:rsidRDefault="008574EF" w:rsidP="00874106">
      <w:pPr>
        <w:spacing w:after="0" w:line="240" w:lineRule="auto"/>
        <w:jc w:val="both"/>
      </w:pPr>
      <w:r>
        <w:t>E se le parole dessero manforte alla poesia dei colori?</w:t>
      </w:r>
    </w:p>
    <w:p w:rsidR="008574EF" w:rsidRDefault="008574EF" w:rsidP="00874106">
      <w:pPr>
        <w:spacing w:after="0" w:line="240" w:lineRule="auto"/>
        <w:jc w:val="both"/>
      </w:pPr>
      <w:r>
        <w:t>E se le parole parlassero delle stagioni? Magari proprio della Primavera?</w:t>
      </w:r>
    </w:p>
    <w:p w:rsidR="008574EF" w:rsidRDefault="008574EF" w:rsidP="00874106">
      <w:pPr>
        <w:spacing w:after="0" w:line="240" w:lineRule="auto"/>
        <w:jc w:val="both"/>
      </w:pPr>
      <w:r>
        <w:t>Decidiamo di dare vita a degli aiku.</w:t>
      </w:r>
    </w:p>
    <w:p w:rsidR="008574EF" w:rsidRDefault="008574EF" w:rsidP="00874106">
      <w:pPr>
        <w:spacing w:after="0" w:line="240" w:lineRule="auto"/>
        <w:jc w:val="both"/>
      </w:pPr>
      <w:r>
        <w:t>L’aiku è una forma poetica che proviene dall’antico Giappone.</w:t>
      </w:r>
    </w:p>
    <w:p w:rsidR="008574EF" w:rsidRDefault="008574EF" w:rsidP="00874106">
      <w:pPr>
        <w:spacing w:after="0" w:line="240" w:lineRule="auto"/>
        <w:jc w:val="both"/>
      </w:pPr>
      <w:r>
        <w:t xml:space="preserve">Costituito di poche </w:t>
      </w:r>
      <w:r w:rsidR="0048343F">
        <w:t xml:space="preserve"> ispirate </w:t>
      </w:r>
      <w:r>
        <w:t>parole, assume il potere comunicativo di un “bozzetto” filosofico.</w:t>
      </w:r>
    </w:p>
    <w:p w:rsidR="008574EF" w:rsidRDefault="008574EF" w:rsidP="00874106">
      <w:pPr>
        <w:spacing w:after="0" w:line="240" w:lineRule="auto"/>
        <w:jc w:val="both"/>
      </w:pPr>
      <w:r>
        <w:t>Insomma per cogliere il senso di ciò che ci circonda, questo popolo orientale avvezzo all’osservazione minuta della Natura, usa estrema sintesi di grande impatto emotivo.</w:t>
      </w:r>
    </w:p>
    <w:p w:rsidR="008574EF" w:rsidRDefault="008574EF" w:rsidP="00874106">
      <w:pPr>
        <w:spacing w:after="0" w:line="240" w:lineRule="auto"/>
        <w:jc w:val="both"/>
      </w:pPr>
      <w:r>
        <w:t>Osserviamo la “Primavera” e proviamo a</w:t>
      </w:r>
      <w:r w:rsidR="0048343F">
        <w:t>d</w:t>
      </w:r>
      <w:r>
        <w:t xml:space="preserve"> elaborare il nostro aiku!</w:t>
      </w:r>
    </w:p>
    <w:p w:rsidR="008574EF" w:rsidRDefault="008574EF" w:rsidP="00874106">
      <w:pPr>
        <w:spacing w:after="0" w:line="240" w:lineRule="auto"/>
        <w:jc w:val="both"/>
      </w:pPr>
      <w:r>
        <w:t>E a questo punto, uniamo due culture: quella occidentale e quella orientale.</w:t>
      </w:r>
    </w:p>
    <w:p w:rsidR="008574EF" w:rsidRDefault="008574EF" w:rsidP="008574EF">
      <w:pPr>
        <w:spacing w:after="0" w:line="240" w:lineRule="auto"/>
        <w:jc w:val="both"/>
        <w:rPr>
          <w:color w:val="FF0000"/>
        </w:rPr>
      </w:pPr>
      <w:r>
        <w:t xml:space="preserve">Presentiamo ai nostri bambini il fluttuante mondo di </w:t>
      </w:r>
      <w:r w:rsidRPr="008574EF">
        <w:t>Katsushika Hokusai</w:t>
      </w:r>
      <w:r>
        <w:t xml:space="preserve">, sofisticato pittore e incisore giapponese del 1700. </w:t>
      </w:r>
      <w:r w:rsidRPr="00C11154">
        <w:rPr>
          <w:b/>
          <w:color w:val="FF0000"/>
        </w:rPr>
        <w:t>(Fig.3)</w:t>
      </w:r>
    </w:p>
    <w:p w:rsidR="008574EF" w:rsidRDefault="008574EF" w:rsidP="008574EF">
      <w:pPr>
        <w:spacing w:after="0" w:line="240" w:lineRule="auto"/>
        <w:jc w:val="both"/>
      </w:pPr>
      <w:r w:rsidRPr="008574EF">
        <w:t>Quanto entusiamo ne</w:t>
      </w:r>
      <w:r>
        <w:t>l riconoscere nelle “macchie” rosa di Cy Twombly l’astrazione dei ciliegi fioriti.</w:t>
      </w:r>
    </w:p>
    <w:p w:rsidR="008574EF" w:rsidRDefault="008574EF" w:rsidP="008574EF">
      <w:pPr>
        <w:spacing w:after="0" w:line="240" w:lineRule="auto"/>
        <w:jc w:val="both"/>
      </w:pPr>
      <w:r>
        <w:t>Intanto ognuno ha costruito un piccolo “tascabile” in cui gelosamente conservare i propri ispirati versi…chiaramenti vergati su sfondi di macchie e segni.</w:t>
      </w:r>
    </w:p>
    <w:p w:rsidR="00C11154" w:rsidRDefault="00C11154" w:rsidP="008574EF">
      <w:pPr>
        <w:spacing w:after="0" w:line="240" w:lineRule="auto"/>
        <w:jc w:val="both"/>
      </w:pPr>
    </w:p>
    <w:p w:rsidR="00C11154" w:rsidRDefault="00C11154" w:rsidP="008574EF">
      <w:pPr>
        <w:spacing w:after="0" w:line="240" w:lineRule="auto"/>
        <w:jc w:val="both"/>
      </w:pPr>
    </w:p>
    <w:p w:rsidR="00C11154" w:rsidRDefault="00C11154" w:rsidP="008574EF">
      <w:pPr>
        <w:spacing w:after="0" w:line="240" w:lineRule="auto"/>
        <w:jc w:val="both"/>
      </w:pPr>
    </w:p>
    <w:p w:rsidR="00C11154" w:rsidRDefault="00C11154" w:rsidP="008574EF">
      <w:pPr>
        <w:spacing w:after="0" w:line="240" w:lineRule="auto"/>
        <w:jc w:val="both"/>
      </w:pPr>
    </w:p>
    <w:p w:rsidR="00C11154" w:rsidRDefault="00C11154" w:rsidP="008574EF">
      <w:pPr>
        <w:spacing w:after="0" w:line="240" w:lineRule="auto"/>
        <w:jc w:val="both"/>
      </w:pPr>
    </w:p>
    <w:p w:rsidR="00C11154" w:rsidRDefault="00C11154" w:rsidP="008574EF">
      <w:pPr>
        <w:spacing w:after="0" w:line="240" w:lineRule="auto"/>
        <w:jc w:val="both"/>
        <w:rPr>
          <w:b/>
        </w:rPr>
      </w:pPr>
      <w:r w:rsidRPr="00C11154">
        <w:rPr>
          <w:b/>
        </w:rPr>
        <w:t>In agenda</w:t>
      </w:r>
      <w:r w:rsidRPr="00C11154">
        <w:rPr>
          <w:b/>
        </w:rPr>
        <w:drawing>
          <wp:inline distT="0" distB="0" distL="0" distR="0">
            <wp:extent cx="2202815" cy="2075180"/>
            <wp:effectExtent l="19050" t="0" r="6985" b="0"/>
            <wp:docPr id="2" name="Immagine 2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54" w:rsidRPr="00C11154" w:rsidRDefault="00C11154" w:rsidP="008574EF">
      <w:pPr>
        <w:spacing w:after="0" w:line="240" w:lineRule="auto"/>
        <w:jc w:val="both"/>
        <w:rPr>
          <w:b/>
        </w:rPr>
      </w:pPr>
      <w:r>
        <w:rPr>
          <w:b/>
        </w:rPr>
        <w:t>Vedute</w:t>
      </w:r>
    </w:p>
    <w:p w:rsidR="00350F18" w:rsidRDefault="00C11154" w:rsidP="008574EF">
      <w:pPr>
        <w:spacing w:after="0" w:line="240" w:lineRule="auto"/>
        <w:jc w:val="both"/>
      </w:pPr>
      <w:r>
        <w:t>La Primavera vista da Cy</w:t>
      </w:r>
      <w:r w:rsidRPr="00C11154">
        <w:t xml:space="preserve"> Twombly</w:t>
      </w:r>
    </w:p>
    <w:p w:rsidR="00350F18" w:rsidRDefault="00C11154" w:rsidP="008574EF">
      <w:pPr>
        <w:spacing w:after="0" w:line="240" w:lineRule="auto"/>
        <w:jc w:val="both"/>
      </w:pPr>
      <w:r>
        <w:t xml:space="preserve">La Primavera vista da </w:t>
      </w:r>
      <w:r w:rsidRPr="00C11154">
        <w:t>Katsushika Hokusai</w:t>
      </w:r>
    </w:p>
    <w:p w:rsidR="00350F18" w:rsidRDefault="00350F18" w:rsidP="008574EF">
      <w:pPr>
        <w:spacing w:after="0" w:line="240" w:lineRule="auto"/>
        <w:jc w:val="both"/>
      </w:pPr>
    </w:p>
    <w:p w:rsidR="00350F18" w:rsidRDefault="00350F18" w:rsidP="008574EF">
      <w:pPr>
        <w:spacing w:after="0" w:line="240" w:lineRule="auto"/>
        <w:jc w:val="both"/>
      </w:pPr>
    </w:p>
    <w:p w:rsidR="00C11154" w:rsidRPr="00C11154" w:rsidRDefault="00C11154" w:rsidP="008574EF">
      <w:pPr>
        <w:spacing w:after="0" w:line="240" w:lineRule="auto"/>
        <w:jc w:val="both"/>
        <w:rPr>
          <w:b/>
        </w:rPr>
      </w:pPr>
      <w:r w:rsidRPr="00C11154">
        <w:rPr>
          <w:b/>
        </w:rPr>
        <w:t>Formae naturae</w:t>
      </w:r>
    </w:p>
    <w:p w:rsidR="00350F18" w:rsidRDefault="00350F18" w:rsidP="008574EF">
      <w:pPr>
        <w:spacing w:after="0" w:line="240" w:lineRule="auto"/>
        <w:jc w:val="both"/>
      </w:pPr>
      <w:r>
        <w:t>Bruno Munari, ovvero la Milano degli anni del dopoguerra.</w:t>
      </w:r>
    </w:p>
    <w:p w:rsidR="00350F18" w:rsidRDefault="00350F18" w:rsidP="008574EF">
      <w:pPr>
        <w:spacing w:after="0" w:line="240" w:lineRule="auto"/>
        <w:jc w:val="both"/>
      </w:pPr>
      <w:r>
        <w:t>La sua genialità di dare vita ad oggetti popolari e ad un certo tipo di pubblicità.</w:t>
      </w:r>
    </w:p>
    <w:p w:rsidR="00350F18" w:rsidRDefault="00350F18" w:rsidP="008574EF">
      <w:pPr>
        <w:spacing w:after="0" w:line="240" w:lineRule="auto"/>
        <w:jc w:val="both"/>
      </w:pPr>
      <w:r>
        <w:t>Di spiegare ad un Italia, ancora stordita dai bombardamenti,</w:t>
      </w:r>
      <w:r w:rsidR="00C11154">
        <w:t xml:space="preserve"> che anche il disegno di oggetti comuni e replicabili ha una sua natura artistica.</w:t>
      </w:r>
    </w:p>
    <w:p w:rsidR="00C11154" w:rsidRDefault="00C11154" w:rsidP="008574EF">
      <w:pPr>
        <w:spacing w:after="0" w:line="240" w:lineRule="auto"/>
        <w:jc w:val="both"/>
      </w:pPr>
      <w:r>
        <w:t>E poi l’ironia.</w:t>
      </w:r>
    </w:p>
    <w:p w:rsidR="00C11154" w:rsidRDefault="00C11154" w:rsidP="008574EF">
      <w:pPr>
        <w:spacing w:after="0" w:line="240" w:lineRule="auto"/>
        <w:jc w:val="both"/>
      </w:pPr>
      <w:r>
        <w:t>E subito dopo, la pedagogia, nella felice intuizione che la creatività va aiutata da subito ad esprimersi perché è cura del pensiero tout court.</w:t>
      </w:r>
    </w:p>
    <w:p w:rsidR="00C11154" w:rsidRDefault="00C11154" w:rsidP="008574EF">
      <w:pPr>
        <w:spacing w:after="0" w:line="240" w:lineRule="auto"/>
        <w:jc w:val="both"/>
      </w:pPr>
      <w:r>
        <w:t>La nostra simpatia per un artista che già anziano girava  per le scuole e si stendeva, letteralmente, in terra per disegnare tra i bambini.</w:t>
      </w:r>
    </w:p>
    <w:p w:rsidR="00C11154" w:rsidRDefault="00C11154" w:rsidP="008574EF">
      <w:pPr>
        <w:spacing w:after="0" w:line="240" w:lineRule="auto"/>
        <w:jc w:val="both"/>
      </w:pPr>
      <w:r>
        <w:t xml:space="preserve">In un suo felice libretto, alla base di uno dei suoi famosi laboratori, “ Rose nell’insalata”, Bruno Munari insegnava ai bambini come le forme della Natura si divertissero a celarsi una nell’altra. </w:t>
      </w:r>
    </w:p>
    <w:p w:rsidR="00C11154" w:rsidRDefault="00C11154" w:rsidP="008574EF">
      <w:pPr>
        <w:spacing w:after="0" w:line="240" w:lineRule="auto"/>
        <w:jc w:val="both"/>
      </w:pPr>
      <w:r>
        <w:t>E così in un cespo di insalata “cappuccina” poteva cogliersi la forma di una rosa.</w:t>
      </w:r>
    </w:p>
    <w:p w:rsidR="00C11154" w:rsidRDefault="00C11154" w:rsidP="008574EF">
      <w:pPr>
        <w:spacing w:after="0" w:line="240" w:lineRule="auto"/>
        <w:jc w:val="both"/>
      </w:pPr>
      <w:r>
        <w:t xml:space="preserve">Bastava fare del primo il “timbro” della seconda… </w:t>
      </w:r>
      <w:r w:rsidRPr="00C11154">
        <w:rPr>
          <w:b/>
          <w:color w:val="FF0000"/>
        </w:rPr>
        <w:t>( Fig.4)</w:t>
      </w:r>
    </w:p>
    <w:p w:rsidR="00C11154" w:rsidRDefault="00C11154" w:rsidP="008574EF">
      <w:pPr>
        <w:spacing w:after="0" w:line="240" w:lineRule="auto"/>
        <w:jc w:val="both"/>
      </w:pPr>
      <w:r>
        <w:t>A voi il gioco!</w:t>
      </w:r>
    </w:p>
    <w:p w:rsidR="00C11154" w:rsidRDefault="00C11154" w:rsidP="008574EF">
      <w:pPr>
        <w:spacing w:after="0" w:line="240" w:lineRule="auto"/>
        <w:jc w:val="both"/>
      </w:pPr>
      <w:r>
        <w:t xml:space="preserve">Ps. Qualcuno potrebbe obiettare: ma quale nesso esiste tra Munari e Cy </w:t>
      </w:r>
      <w:r w:rsidRPr="00C11154">
        <w:t>Twombly</w:t>
      </w:r>
      <w:r>
        <w:t>, autore da cui si era partiti?</w:t>
      </w:r>
    </w:p>
    <w:p w:rsidR="00C11154" w:rsidRDefault="00C11154" w:rsidP="008574EF">
      <w:pPr>
        <w:spacing w:after="0" w:line="240" w:lineRule="auto"/>
        <w:jc w:val="both"/>
      </w:pPr>
      <w:r>
        <w:t>Bene, provate a confrontare le “ Peonie” dell’americano e le “rose” che campeggiano nella copertina della prima pubblicazione del libretto di Munari… a voi  la ricerca in aula multimediale.</w:t>
      </w:r>
    </w:p>
    <w:p w:rsidR="00C11154" w:rsidRPr="008574EF" w:rsidRDefault="00C11154" w:rsidP="008574EF">
      <w:pPr>
        <w:spacing w:after="0" w:line="240" w:lineRule="auto"/>
        <w:jc w:val="both"/>
      </w:pPr>
      <w:r>
        <w:t xml:space="preserve">Buon lavoro! </w:t>
      </w:r>
    </w:p>
    <w:p w:rsidR="008574EF" w:rsidRPr="008574EF" w:rsidRDefault="008574EF" w:rsidP="008574EF">
      <w:pPr>
        <w:spacing w:after="0" w:line="240" w:lineRule="auto"/>
        <w:jc w:val="both"/>
      </w:pPr>
    </w:p>
    <w:p w:rsidR="008574EF" w:rsidRDefault="008574EF" w:rsidP="00874106">
      <w:pPr>
        <w:spacing w:after="0" w:line="240" w:lineRule="auto"/>
        <w:jc w:val="both"/>
      </w:pPr>
    </w:p>
    <w:p w:rsidR="008574EF" w:rsidRPr="00874106" w:rsidRDefault="008574EF" w:rsidP="00874106">
      <w:pPr>
        <w:spacing w:after="0" w:line="240" w:lineRule="auto"/>
        <w:jc w:val="both"/>
      </w:pPr>
    </w:p>
    <w:p w:rsidR="00874106" w:rsidRPr="00874106" w:rsidRDefault="00874106" w:rsidP="00874106">
      <w:pPr>
        <w:spacing w:after="0" w:line="240" w:lineRule="auto"/>
        <w:jc w:val="both"/>
      </w:pPr>
    </w:p>
    <w:sectPr w:rsidR="00874106" w:rsidRPr="00874106" w:rsidSect="00BF1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874106"/>
    <w:rsid w:val="00350F18"/>
    <w:rsid w:val="00367302"/>
    <w:rsid w:val="0048343F"/>
    <w:rsid w:val="008574EF"/>
    <w:rsid w:val="00874106"/>
    <w:rsid w:val="00A151CF"/>
    <w:rsid w:val="00B52E16"/>
    <w:rsid w:val="00BF17F3"/>
    <w:rsid w:val="00C11154"/>
    <w:rsid w:val="00EB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F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3</cp:revision>
  <dcterms:created xsi:type="dcterms:W3CDTF">2019-03-20T19:01:00Z</dcterms:created>
  <dcterms:modified xsi:type="dcterms:W3CDTF">2019-03-20T19:06:00Z</dcterms:modified>
</cp:coreProperties>
</file>